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E626C">
        <w:rPr>
          <w:rFonts w:ascii="UD デジタル 教科書体 NK-R" w:eastAsia="UD デジタル 教科書体 NK-R" w:hint="eastAsia"/>
          <w:sz w:val="24"/>
          <w:szCs w:val="24"/>
        </w:rPr>
        <w:t>三重県人口移動</w:t>
      </w:r>
      <w:r w:rsidR="00321135" w:rsidRPr="00321135">
        <w:rPr>
          <w:rFonts w:ascii="UD デジタル 教科書体 NK-R" w:eastAsia="UD デジタル 教科書体 NK-R" w:hint="eastAsia"/>
          <w:sz w:val="24"/>
          <w:szCs w:val="24"/>
        </w:rPr>
        <w:t>実態調査・要因分析業務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579DE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岩瀬 泰輔</cp:lastModifiedBy>
  <cp:revision>2</cp:revision>
  <cp:lastPrinted>2020-01-30T10:01:00Z</cp:lastPrinted>
  <dcterms:created xsi:type="dcterms:W3CDTF">2022-04-18T07:21:00Z</dcterms:created>
  <dcterms:modified xsi:type="dcterms:W3CDTF">2023-07-21T06:20:00Z</dcterms:modified>
</cp:coreProperties>
</file>